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Default="0038073A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br/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>GA</w:t>
      </w:r>
      <w:r w:rsidR="00F25263" w:rsidRPr="0038073A">
        <w:rPr>
          <w:rFonts w:ascii="Century Gothic" w:hAnsi="Century Gothic"/>
          <w:b/>
          <w:color w:val="1F3864" w:themeColor="accent5" w:themeShade="80"/>
          <w:u w:val="single"/>
        </w:rPr>
        <w:t>S</w:t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>TO</w:t>
      </w:r>
      <w:r w:rsidR="00904EE5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S </w:t>
      </w:r>
      <w:r w:rsidR="00F25263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EFECTUADO EN CONCEPTO DE </w:t>
      </w:r>
      <w:r w:rsidR="0003677F" w:rsidRPr="0038073A">
        <w:rPr>
          <w:rFonts w:ascii="Century Gothic" w:hAnsi="Century Gothic"/>
          <w:b/>
          <w:color w:val="1F3864" w:themeColor="accent5" w:themeShade="80"/>
          <w:u w:val="single"/>
        </w:rPr>
        <w:t>PATROCINIO Y CAMPAÑAS DE PUBLICIDAD INSTITUCIONAL</w:t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 </w:t>
      </w:r>
    </w:p>
    <w:p w:rsidR="00ED1E5A" w:rsidRPr="00ED1E5A" w:rsidRDefault="00ED1E5A" w:rsidP="00ED1E5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ED1E5A">
        <w:rPr>
          <w:rFonts w:ascii="Century Gothic" w:eastAsia="Times New Roman" w:hAnsi="Century Gothic" w:cs="Times New Roman"/>
          <w:b/>
          <w:bCs/>
          <w:szCs w:val="24"/>
          <w:u w:val="single"/>
          <w:lang w:eastAsia="es-ES"/>
        </w:rPr>
        <w:t>Año 2025</w:t>
      </w:r>
      <w:r w:rsidRPr="00ED1E5A">
        <w:rPr>
          <w:rFonts w:ascii="Century Gothic" w:eastAsia="Times New Roman" w:hAnsi="Century Gothic" w:cs="Times New Roman"/>
          <w:szCs w:val="24"/>
          <w:lang w:eastAsia="es-ES"/>
        </w:rPr>
        <w:t>:</w:t>
      </w:r>
    </w:p>
    <w:p w:rsidR="00ED1E5A" w:rsidRPr="00ED1E5A" w:rsidRDefault="00ED1E5A" w:rsidP="00ED1E5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 w:val="18"/>
          <w:szCs w:val="24"/>
          <w:lang w:eastAsia="es-ES"/>
        </w:rPr>
      </w:pPr>
      <w:r w:rsidRPr="00ED1E5A">
        <w:rPr>
          <w:rFonts w:ascii="Century Gothic" w:eastAsia="Times New Roman" w:hAnsi="Century Gothic" w:cs="Times New Roman"/>
          <w:sz w:val="18"/>
          <w:szCs w:val="24"/>
          <w:lang w:eastAsia="es-ES"/>
        </w:rPr>
        <w:t xml:space="preserve">·         </w:t>
      </w:r>
      <w:r w:rsidRPr="00ED1E5A">
        <w:rPr>
          <w:rFonts w:ascii="Century Gothic" w:eastAsia="Times New Roman" w:hAnsi="Century Gothic" w:cs="Times New Roman"/>
          <w:b/>
          <w:bCs/>
          <w:sz w:val="18"/>
          <w:szCs w:val="24"/>
          <w:u w:val="single"/>
          <w:lang w:eastAsia="es-ES"/>
        </w:rPr>
        <w:t>Gasto en patrocinio</w:t>
      </w:r>
      <w:r w:rsidRPr="00ED1E5A">
        <w:rPr>
          <w:rFonts w:ascii="Century Gothic" w:eastAsia="Times New Roman" w:hAnsi="Century Gothic" w:cs="Times New Roman"/>
          <w:sz w:val="18"/>
          <w:szCs w:val="24"/>
          <w:lang w:eastAsia="es-ES"/>
        </w:rPr>
        <w:t>: no hay gasto realizado en concepto de patrocinio. </w:t>
      </w:r>
    </w:p>
    <w:p w:rsidR="00ED1E5A" w:rsidRPr="00ED1E5A" w:rsidRDefault="00ED1E5A" w:rsidP="00ED1E5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sz w:val="18"/>
          <w:szCs w:val="24"/>
          <w:lang w:eastAsia="es-ES"/>
        </w:rPr>
      </w:pPr>
      <w:r w:rsidRPr="00ED1E5A">
        <w:rPr>
          <w:rFonts w:ascii="Century Gothic" w:eastAsia="Times New Roman" w:hAnsi="Century Gothic" w:cs="Times New Roman"/>
          <w:sz w:val="18"/>
          <w:szCs w:val="24"/>
          <w:lang w:eastAsia="es-ES"/>
        </w:rPr>
        <w:t xml:space="preserve">·         </w:t>
      </w:r>
      <w:r w:rsidRPr="00ED1E5A">
        <w:rPr>
          <w:rFonts w:ascii="Century Gothic" w:eastAsia="Times New Roman" w:hAnsi="Century Gothic" w:cs="Times New Roman"/>
          <w:b/>
          <w:bCs/>
          <w:sz w:val="18"/>
          <w:szCs w:val="24"/>
          <w:u w:val="single"/>
          <w:lang w:eastAsia="es-ES"/>
        </w:rPr>
        <w:t>Gasto en publicidad</w:t>
      </w:r>
      <w:r w:rsidRPr="00ED1E5A">
        <w:rPr>
          <w:rFonts w:ascii="Century Gothic" w:eastAsia="Times New Roman" w:hAnsi="Century Gothic" w:cs="Times New Roman"/>
          <w:sz w:val="18"/>
          <w:szCs w:val="24"/>
          <w:lang w:eastAsia="es-ES"/>
        </w:rPr>
        <w:t>: A 31 de diciembre de 2025 el gasto realizado por la Fundación Auditorio y Teatro de Las Palmas de Gran Canaria en la partida de “Publicidad” para la realización de su actividad ascendió a un importe de 205.447 euros, para la celebración de 466 eventos realizados en el Auditorio Alfredo Kraus, Palacio de Congresos de Canarias y Teatro Pérez Galdós.</w:t>
      </w:r>
    </w:p>
    <w:p w:rsidR="006A4201" w:rsidRDefault="00ED1E5A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u w:val="single"/>
        </w:rPr>
        <w:br/>
      </w:r>
      <w:r w:rsidR="006A4201">
        <w:rPr>
          <w:rFonts w:ascii="Century Gothic" w:hAnsi="Century Gothic"/>
          <w:b/>
          <w:sz w:val="22"/>
          <w:u w:val="single"/>
        </w:rPr>
        <w:t>Año 2024</w:t>
      </w:r>
      <w:r w:rsidR="006A4201"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publicidad</w:t>
      </w:r>
      <w:r>
        <w:rPr>
          <w:rFonts w:ascii="Century Gothic" w:hAnsi="Century Gothic"/>
          <w:sz w:val="18"/>
        </w:rPr>
        <w:t>: A 31 de diciembre de 2024 el gasto realizado por la Fundación Auditorio y Teatro de Las Palmas de Gran Canaria en la partida de “Publicidad” para la realización de su actividad ascendió a un importe de 234.369 euros, para la celebración de 477 eventos realizados en el Auditorio Alfredo Kraus, Palacio de Congresos de Canarias y Teatro Pérez Galdós.</w:t>
      </w:r>
    </w:p>
    <w:p w:rsidR="006A4201" w:rsidRDefault="006A4201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u w:val="single"/>
        </w:rPr>
        <w:t>Año 2023</w:t>
      </w:r>
      <w:r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publicidad</w:t>
      </w:r>
      <w:r>
        <w:rPr>
          <w:rFonts w:ascii="Century Gothic" w:hAnsi="Century Gothic"/>
          <w:sz w:val="18"/>
        </w:rPr>
        <w:t>: A 31 de diciembre de 2023 el gasto realizado por la Fundación Auditorio y Teatro de Las Palmas de Gran Canaria en la partida de “Publicidad” para la realización de su actividad ascendió a un importe de 194.965 euros, para la celebración de 522 eventos realizados en el Auditorio Alfredo Kraus, Palacio de Congresos de Canarias y Teatro Pérez Galdós.</w:t>
      </w:r>
    </w:p>
    <w:p w:rsidR="006A4201" w:rsidRDefault="006A4201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u w:val="single"/>
        </w:rPr>
        <w:t>Año 2022</w:t>
      </w:r>
      <w:r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Pr="00ED1E5A" w:rsidRDefault="006A4201" w:rsidP="002942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color w:val="1F3864" w:themeColor="accent5" w:themeShade="80"/>
        </w:rPr>
      </w:pPr>
      <w:r w:rsidRPr="00ED1E5A">
        <w:rPr>
          <w:rFonts w:ascii="Century Gothic" w:hAnsi="Century Gothic"/>
          <w:b/>
          <w:bCs/>
          <w:sz w:val="18"/>
          <w:u w:val="single"/>
        </w:rPr>
        <w:t>Gasto en publicidad</w:t>
      </w:r>
      <w:r w:rsidRPr="00ED1E5A">
        <w:rPr>
          <w:rFonts w:ascii="Century Gothic" w:hAnsi="Century Gothic"/>
          <w:sz w:val="18"/>
        </w:rPr>
        <w:t>: A 31 de diciembre de 2022 el gasto realizado por la Fundación Auditorio y Teatro de Las Palmas de Gran Canaria en la partida de “Publicidad” para la realización de su actividad ascendió a un importe de 155.019 euros, para la celebración de 468 eventos realizados en el Auditorio Alfredo Kraus, Palacio de Congresos de Canarias y Teatro Pérez Galdós.</w:t>
      </w:r>
      <w:bookmarkStart w:id="0" w:name="_GoBack"/>
      <w:bookmarkEnd w:id="0"/>
    </w:p>
    <w:sectPr w:rsidR="006A4201" w:rsidRPr="00ED1E5A" w:rsidSect="00AA566B">
      <w:headerReference w:type="default" r:id="rId7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1C8D"/>
    <w:multiLevelType w:val="hybridMultilevel"/>
    <w:tmpl w:val="D85E2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407B0"/>
    <w:rsid w:val="001D1E3A"/>
    <w:rsid w:val="00237CF4"/>
    <w:rsid w:val="002619FF"/>
    <w:rsid w:val="003208DA"/>
    <w:rsid w:val="00322B08"/>
    <w:rsid w:val="003561A8"/>
    <w:rsid w:val="0038073A"/>
    <w:rsid w:val="0039044A"/>
    <w:rsid w:val="00402C93"/>
    <w:rsid w:val="00451F70"/>
    <w:rsid w:val="004905D8"/>
    <w:rsid w:val="005324FF"/>
    <w:rsid w:val="005376A7"/>
    <w:rsid w:val="00677DBC"/>
    <w:rsid w:val="006A4201"/>
    <w:rsid w:val="006F49FC"/>
    <w:rsid w:val="00717D78"/>
    <w:rsid w:val="00783FC7"/>
    <w:rsid w:val="00786237"/>
    <w:rsid w:val="007D6983"/>
    <w:rsid w:val="00875E5D"/>
    <w:rsid w:val="008B53E0"/>
    <w:rsid w:val="008F3526"/>
    <w:rsid w:val="00904EE5"/>
    <w:rsid w:val="00984E10"/>
    <w:rsid w:val="00A33570"/>
    <w:rsid w:val="00AA566B"/>
    <w:rsid w:val="00AC28E4"/>
    <w:rsid w:val="00B16472"/>
    <w:rsid w:val="00BE481F"/>
    <w:rsid w:val="00D71554"/>
    <w:rsid w:val="00ED1E5A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2024-02-23T16:48:00Z</cp:lastPrinted>
  <dcterms:created xsi:type="dcterms:W3CDTF">2025-04-09T17:07:00Z</dcterms:created>
  <dcterms:modified xsi:type="dcterms:W3CDTF">2026-04-24T19:28:00Z</dcterms:modified>
</cp:coreProperties>
</file>