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Pr="00E938A7" w:rsidRDefault="00E938A7" w:rsidP="00E938A7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  <w:u w:val="single"/>
        </w:rPr>
      </w:pPr>
      <w:r>
        <w:rPr>
          <w:rFonts w:ascii="Century Gothic" w:hAnsi="Century Gothic"/>
          <w:b/>
          <w:color w:val="1F3864" w:themeColor="accent5" w:themeShade="80"/>
          <w:u w:val="single"/>
        </w:rPr>
        <w:br/>
      </w:r>
      <w:r w:rsidR="00B16472" w:rsidRPr="00E938A7">
        <w:rPr>
          <w:rFonts w:ascii="Century Gothic" w:hAnsi="Century Gothic"/>
          <w:b/>
          <w:color w:val="1F3864" w:themeColor="accent5" w:themeShade="80"/>
          <w:u w:val="single"/>
        </w:rPr>
        <w:t>GA</w:t>
      </w:r>
      <w:r w:rsidR="00F25263" w:rsidRPr="00E938A7">
        <w:rPr>
          <w:rFonts w:ascii="Century Gothic" w:hAnsi="Century Gothic"/>
          <w:b/>
          <w:color w:val="1F3864" w:themeColor="accent5" w:themeShade="80"/>
          <w:u w:val="single"/>
        </w:rPr>
        <w:t>S</w:t>
      </w:r>
      <w:r w:rsidR="00B16472" w:rsidRPr="00E938A7">
        <w:rPr>
          <w:rFonts w:ascii="Century Gothic" w:hAnsi="Century Gothic"/>
          <w:b/>
          <w:color w:val="1F3864" w:themeColor="accent5" w:themeShade="80"/>
          <w:u w:val="single"/>
        </w:rPr>
        <w:t>TO</w:t>
      </w:r>
      <w:r w:rsidR="00904EE5" w:rsidRPr="00E938A7">
        <w:rPr>
          <w:rFonts w:ascii="Century Gothic" w:hAnsi="Century Gothic"/>
          <w:b/>
          <w:color w:val="1F3864" w:themeColor="accent5" w:themeShade="80"/>
          <w:u w:val="single"/>
        </w:rPr>
        <w:t xml:space="preserve">S </w:t>
      </w:r>
      <w:r w:rsidR="00670530" w:rsidRPr="00E938A7">
        <w:rPr>
          <w:rFonts w:ascii="Century Gothic" w:hAnsi="Century Gothic"/>
          <w:b/>
          <w:color w:val="1F3864" w:themeColor="accent5" w:themeShade="80"/>
          <w:u w:val="single"/>
        </w:rPr>
        <w:t>DE PERSONAL Y SU PORCENTAJE SOBRE EL GASTO TOTAL</w:t>
      </w:r>
    </w:p>
    <w:p w:rsidR="008B2FD5" w:rsidRDefault="008B2FD5" w:rsidP="008B2FD5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F25263">
        <w:rPr>
          <w:rFonts w:ascii="Century Gothic" w:hAnsi="Century Gothic"/>
          <w:b/>
          <w:sz w:val="20"/>
          <w:u w:val="single"/>
        </w:rPr>
        <w:t>Año 202</w:t>
      </w:r>
      <w:r>
        <w:rPr>
          <w:rFonts w:ascii="Century Gothic" w:hAnsi="Century Gothic"/>
          <w:b/>
          <w:sz w:val="20"/>
          <w:u w:val="single"/>
        </w:rPr>
        <w:t>5</w:t>
      </w:r>
      <w:r>
        <w:rPr>
          <w:rFonts w:ascii="Century Gothic" w:hAnsi="Century Gothic"/>
          <w:b/>
          <w:sz w:val="20"/>
          <w:u w:val="single"/>
        </w:rPr>
        <w:t>:</w:t>
      </w:r>
      <w:r>
        <w:rPr>
          <w:rFonts w:ascii="Century Gothic" w:hAnsi="Century Gothic"/>
          <w:sz w:val="20"/>
        </w:rPr>
        <w:t xml:space="preserve"> </w:t>
      </w:r>
      <w:bookmarkStart w:id="0" w:name="_GoBack"/>
      <w:bookmarkEnd w:id="0"/>
      <w:r w:rsidRPr="008B2FD5">
        <w:rPr>
          <w:rFonts w:ascii="Century Gothic" w:hAnsi="Century Gothic"/>
          <w:sz w:val="20"/>
        </w:rPr>
        <w:t>1.277.490,00€, lo que representa un 20% del gasto total.</w:t>
      </w:r>
    </w:p>
    <w:p w:rsidR="00E938A7" w:rsidRDefault="00E938A7" w:rsidP="00E938A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F25263">
        <w:rPr>
          <w:rFonts w:ascii="Century Gothic" w:hAnsi="Century Gothic"/>
          <w:b/>
          <w:sz w:val="20"/>
          <w:u w:val="single"/>
        </w:rPr>
        <w:t>Año 202</w:t>
      </w:r>
      <w:r>
        <w:rPr>
          <w:rFonts w:ascii="Century Gothic" w:hAnsi="Century Gothic"/>
          <w:b/>
          <w:sz w:val="20"/>
          <w:u w:val="single"/>
        </w:rPr>
        <w:t>4:</w:t>
      </w:r>
      <w:r>
        <w:rPr>
          <w:rFonts w:ascii="Century Gothic" w:hAnsi="Century Gothic"/>
          <w:sz w:val="20"/>
        </w:rPr>
        <w:t xml:space="preserve"> </w:t>
      </w:r>
      <w:r w:rsidR="00D821B3">
        <w:rPr>
          <w:rFonts w:ascii="Century Gothic" w:hAnsi="Century Gothic"/>
          <w:sz w:val="20"/>
        </w:rPr>
        <w:t>1.689.996,00€, lo que representa un 20% del gasto total.</w:t>
      </w:r>
    </w:p>
    <w:p w:rsidR="00E938A7" w:rsidRDefault="00E938A7" w:rsidP="00E938A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F25263">
        <w:rPr>
          <w:rFonts w:ascii="Century Gothic" w:hAnsi="Century Gothic"/>
          <w:b/>
          <w:sz w:val="20"/>
          <w:u w:val="single"/>
        </w:rPr>
        <w:t>Año 202</w:t>
      </w:r>
      <w:r>
        <w:rPr>
          <w:rFonts w:ascii="Century Gothic" w:hAnsi="Century Gothic"/>
          <w:b/>
          <w:sz w:val="20"/>
          <w:u w:val="single"/>
        </w:rPr>
        <w:t>3:</w:t>
      </w:r>
      <w:r>
        <w:rPr>
          <w:rFonts w:ascii="Century Gothic" w:hAnsi="Century Gothic"/>
          <w:sz w:val="20"/>
        </w:rPr>
        <w:t xml:space="preserve"> </w:t>
      </w:r>
      <w:r w:rsidR="00D821B3">
        <w:rPr>
          <w:rFonts w:ascii="Century Gothic" w:hAnsi="Century Gothic"/>
          <w:sz w:val="20"/>
        </w:rPr>
        <w:t>1.488.405,00€, lo que representa un 22% del gasto total.</w:t>
      </w:r>
    </w:p>
    <w:p w:rsidR="00E938A7" w:rsidRDefault="00E938A7" w:rsidP="00E938A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  <w:u w:val="single"/>
        </w:rPr>
        <w:t>Año 2022</w:t>
      </w:r>
      <w:r>
        <w:rPr>
          <w:rFonts w:ascii="Century Gothic" w:hAnsi="Century Gothic"/>
          <w:b/>
          <w:sz w:val="20"/>
        </w:rPr>
        <w:t>:</w:t>
      </w:r>
      <w:r w:rsidR="00D821B3">
        <w:rPr>
          <w:rFonts w:ascii="Century Gothic" w:hAnsi="Century Gothic"/>
          <w:sz w:val="20"/>
        </w:rPr>
        <w:t xml:space="preserve"> 1.307.250,00€</w:t>
      </w:r>
      <w:r>
        <w:rPr>
          <w:rFonts w:ascii="Century Gothic" w:hAnsi="Century Gothic"/>
          <w:sz w:val="20"/>
        </w:rPr>
        <w:t>, lo que representa un 21% del gasto total</w:t>
      </w:r>
    </w:p>
    <w:p w:rsidR="00E938A7" w:rsidRDefault="00E938A7" w:rsidP="00904EE5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sz w:val="20"/>
          <w:u w:val="single"/>
        </w:rPr>
      </w:pPr>
    </w:p>
    <w:p w:rsidR="00786237" w:rsidRPr="00904EE5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</w:p>
    <w:p w:rsidR="00786237" w:rsidRPr="00984E10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</w:pPr>
    </w:p>
    <w:sectPr w:rsidR="00786237" w:rsidRPr="00984E10" w:rsidSect="00AA566B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1D1E3A"/>
    <w:rsid w:val="00237CF4"/>
    <w:rsid w:val="00322B08"/>
    <w:rsid w:val="003561A8"/>
    <w:rsid w:val="0039044A"/>
    <w:rsid w:val="00402C93"/>
    <w:rsid w:val="00451F70"/>
    <w:rsid w:val="005324FF"/>
    <w:rsid w:val="005376A7"/>
    <w:rsid w:val="00670530"/>
    <w:rsid w:val="00677DBC"/>
    <w:rsid w:val="006E0583"/>
    <w:rsid w:val="006F49FC"/>
    <w:rsid w:val="00783FC7"/>
    <w:rsid w:val="00786237"/>
    <w:rsid w:val="007D6983"/>
    <w:rsid w:val="00875E5D"/>
    <w:rsid w:val="00892585"/>
    <w:rsid w:val="008B2FD5"/>
    <w:rsid w:val="008B53E0"/>
    <w:rsid w:val="00904EE5"/>
    <w:rsid w:val="00984E10"/>
    <w:rsid w:val="00A33570"/>
    <w:rsid w:val="00AA566B"/>
    <w:rsid w:val="00AC28E4"/>
    <w:rsid w:val="00B16472"/>
    <w:rsid w:val="00BE481F"/>
    <w:rsid w:val="00D71554"/>
    <w:rsid w:val="00D821B3"/>
    <w:rsid w:val="00E938A7"/>
    <w:rsid w:val="00F25263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12</cp:revision>
  <cp:lastPrinted>2024-02-23T14:59:00Z</cp:lastPrinted>
  <dcterms:created xsi:type="dcterms:W3CDTF">2022-10-29T20:35:00Z</dcterms:created>
  <dcterms:modified xsi:type="dcterms:W3CDTF">2026-04-24T19:08:00Z</dcterms:modified>
</cp:coreProperties>
</file>